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908" w:tblpY="1"/>
        <w:tblOverlap w:val="never"/>
        <w:tblW w:w="8085" w:type="dxa"/>
        <w:tblBorders>
          <w:bottom w:val="single" w:sz="8" w:space="0" w:color="auto"/>
        </w:tblBorders>
        <w:tblLook w:val="04A0"/>
      </w:tblPr>
      <w:tblGrid>
        <w:gridCol w:w="8085"/>
      </w:tblGrid>
      <w:tr w:rsidR="00F24084" w:rsidRPr="00CF75F8" w:rsidTr="002C6491">
        <w:trPr>
          <w:trHeight w:val="80"/>
        </w:trPr>
        <w:tc>
          <w:tcPr>
            <w:tcW w:w="8085" w:type="dxa"/>
          </w:tcPr>
          <w:p w:rsidR="00350E5E" w:rsidRPr="00CF75F8" w:rsidRDefault="004F39C7" w:rsidP="002E7B42">
            <w:pPr>
              <w:spacing w:after="0"/>
              <w:jc w:val="right"/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REQUISIÇÃO</w:t>
            </w:r>
            <w:r w:rsidR="00420AD6">
              <w:rPr>
                <w:rFonts w:ascii="Cambria" w:hAnsi="Cambria"/>
                <w:color w:val="595959"/>
                <w:sz w:val="26"/>
                <w:szCs w:val="26"/>
              </w:rPr>
              <w:t xml:space="preserve"> DE GRATUIDADE</w:t>
            </w:r>
          </w:p>
        </w:tc>
      </w:tr>
    </w:tbl>
    <w:p w:rsidR="00F24084" w:rsidRPr="00CF75F8" w:rsidRDefault="00F24084" w:rsidP="00F24084">
      <w:pPr>
        <w:jc w:val="center"/>
        <w:rPr>
          <w:rFonts w:ascii="Cambria" w:hAnsi="Cambria"/>
          <w:sz w:val="26"/>
          <w:szCs w:val="26"/>
        </w:rPr>
      </w:pPr>
      <w:r w:rsidRPr="00CF75F8">
        <w:rPr>
          <w:rFonts w:ascii="Cambria" w:hAnsi="Cambria"/>
          <w:sz w:val="26"/>
          <w:szCs w:val="26"/>
        </w:rPr>
        <w:br w:type="textWrapping" w:clear="all"/>
      </w:r>
    </w:p>
    <w:p w:rsidR="00F24084" w:rsidRDefault="00F24084" w:rsidP="00F24084">
      <w:pPr>
        <w:rPr>
          <w:rFonts w:ascii="Cambria" w:hAnsi="Cambria"/>
          <w:color w:val="7F7F7F"/>
          <w:sz w:val="26"/>
          <w:szCs w:val="26"/>
        </w:rPr>
      </w:pPr>
    </w:p>
    <w:p w:rsidR="00F24084" w:rsidRPr="00615B00" w:rsidRDefault="000753B2" w:rsidP="00420AD6">
      <w:pPr>
        <w:spacing w:after="0" w:line="240" w:lineRule="auto"/>
        <w:ind w:left="851" w:right="567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color w:val="4F6228"/>
          <w:sz w:val="26"/>
          <w:szCs w:val="26"/>
        </w:rPr>
        <w:t xml:space="preserve">A </w:t>
      </w:r>
      <w:r w:rsidRPr="000753B2">
        <w:rPr>
          <w:rFonts w:ascii="Cambria" w:hAnsi="Cambria"/>
          <w:b/>
          <w:color w:val="4F6228"/>
          <w:sz w:val="26"/>
          <w:szCs w:val="26"/>
        </w:rPr>
        <w:t xml:space="preserve">DEFENSORIA PÚBLICA DE MINAS GERAIS, </w:t>
      </w:r>
      <w:r w:rsidRPr="000753B2">
        <w:rPr>
          <w:rFonts w:ascii="Cambria" w:hAnsi="Cambria"/>
          <w:sz w:val="26"/>
          <w:szCs w:val="26"/>
        </w:rPr>
        <w:t xml:space="preserve">instituição autônoma integrante do Sistema Constitucional de Justiça, nos termos do art. 134 da CR/88, </w:t>
      </w:r>
      <w:r>
        <w:rPr>
          <w:rFonts w:ascii="Cambria" w:hAnsi="Cambria"/>
          <w:sz w:val="26"/>
          <w:szCs w:val="26"/>
        </w:rPr>
        <w:t xml:space="preserve">representada por seu órgão de execução </w:t>
      </w:r>
      <w:r w:rsidRPr="000753B2">
        <w:rPr>
          <w:rFonts w:ascii="Cambria" w:hAnsi="Cambria"/>
          <w:sz w:val="26"/>
          <w:szCs w:val="26"/>
        </w:rPr>
        <w:t>infra</w:t>
      </w:r>
      <w:r>
        <w:rPr>
          <w:rFonts w:ascii="Cambria" w:hAnsi="Cambria"/>
          <w:sz w:val="26"/>
          <w:szCs w:val="26"/>
        </w:rPr>
        <w:t xml:space="preserve">, este </w:t>
      </w:r>
      <w:r w:rsidRPr="000753B2">
        <w:rPr>
          <w:rFonts w:ascii="Cambria" w:hAnsi="Cambria"/>
          <w:sz w:val="26"/>
          <w:szCs w:val="26"/>
        </w:rPr>
        <w:t xml:space="preserve">com domicílio profissional na Rua </w:t>
      </w:r>
      <w:r w:rsidR="00D6082F">
        <w:rPr>
          <w:rFonts w:ascii="Cambria" w:hAnsi="Cambria"/>
          <w:sz w:val="26"/>
          <w:szCs w:val="26"/>
        </w:rPr>
        <w:t xml:space="preserve">dos </w:t>
      </w:r>
      <w:proofErr w:type="spellStart"/>
      <w:r w:rsidR="00D6082F">
        <w:rPr>
          <w:rFonts w:ascii="Cambria" w:hAnsi="Cambria"/>
          <w:sz w:val="26"/>
          <w:szCs w:val="26"/>
        </w:rPr>
        <w:t>Guajajaras</w:t>
      </w:r>
      <w:proofErr w:type="spellEnd"/>
      <w:r w:rsidRPr="000753B2">
        <w:rPr>
          <w:rFonts w:ascii="Cambria" w:hAnsi="Cambria"/>
          <w:sz w:val="26"/>
          <w:szCs w:val="26"/>
        </w:rPr>
        <w:t xml:space="preserve">, nº </w:t>
      </w:r>
      <w:r w:rsidR="00D6082F">
        <w:rPr>
          <w:rFonts w:ascii="Cambria" w:hAnsi="Cambria"/>
          <w:sz w:val="26"/>
          <w:szCs w:val="26"/>
        </w:rPr>
        <w:t>1.707</w:t>
      </w:r>
      <w:r w:rsidR="00F15EE6">
        <w:rPr>
          <w:rFonts w:ascii="Cambria" w:hAnsi="Cambria"/>
          <w:sz w:val="26"/>
          <w:szCs w:val="26"/>
        </w:rPr>
        <w:t xml:space="preserve">, Bairro </w:t>
      </w:r>
      <w:r w:rsidR="00D6082F">
        <w:rPr>
          <w:rFonts w:ascii="Cambria" w:hAnsi="Cambria"/>
          <w:sz w:val="26"/>
          <w:szCs w:val="26"/>
        </w:rPr>
        <w:t>Barro Preto</w:t>
      </w:r>
      <w:r w:rsidRPr="000753B2">
        <w:rPr>
          <w:rFonts w:ascii="Cambria" w:hAnsi="Cambria"/>
          <w:sz w:val="26"/>
          <w:szCs w:val="26"/>
        </w:rPr>
        <w:t xml:space="preserve">, </w:t>
      </w:r>
      <w:r w:rsidR="001A5A75">
        <w:rPr>
          <w:rFonts w:ascii="Cambria" w:hAnsi="Cambria"/>
          <w:sz w:val="26"/>
          <w:szCs w:val="26"/>
        </w:rPr>
        <w:t>CEP</w:t>
      </w:r>
      <w:r w:rsidR="00F15EE6">
        <w:rPr>
          <w:rFonts w:ascii="Cambria" w:hAnsi="Cambria"/>
          <w:sz w:val="26"/>
          <w:szCs w:val="26"/>
        </w:rPr>
        <w:t>:</w:t>
      </w:r>
      <w:r w:rsidRPr="000753B2">
        <w:rPr>
          <w:rFonts w:ascii="Cambria" w:hAnsi="Cambria"/>
          <w:sz w:val="26"/>
          <w:szCs w:val="26"/>
        </w:rPr>
        <w:t xml:space="preserve"> 301</w:t>
      </w:r>
      <w:r w:rsidR="00D6082F">
        <w:rPr>
          <w:rFonts w:ascii="Cambria" w:hAnsi="Cambria"/>
          <w:sz w:val="26"/>
          <w:szCs w:val="26"/>
        </w:rPr>
        <w:t>8</w:t>
      </w:r>
      <w:r w:rsidRPr="000753B2">
        <w:rPr>
          <w:rFonts w:ascii="Cambria" w:hAnsi="Cambria"/>
          <w:sz w:val="26"/>
          <w:szCs w:val="26"/>
        </w:rPr>
        <w:t>0-0</w:t>
      </w:r>
      <w:r w:rsidR="00D6082F">
        <w:rPr>
          <w:rFonts w:ascii="Cambria" w:hAnsi="Cambria"/>
          <w:sz w:val="26"/>
          <w:szCs w:val="26"/>
        </w:rPr>
        <w:t>99</w:t>
      </w:r>
      <w:r w:rsidRPr="000753B2">
        <w:rPr>
          <w:rFonts w:ascii="Cambria" w:hAnsi="Cambria"/>
          <w:sz w:val="26"/>
          <w:szCs w:val="26"/>
        </w:rPr>
        <w:t xml:space="preserve">, Belo Horizonte – MG, vem, com suporte no art. 128, X, da Lei Complementar 80/1994, mui </w:t>
      </w:r>
      <w:r w:rsidRPr="00CA35E0">
        <w:rPr>
          <w:rFonts w:ascii="Cambria" w:hAnsi="Cambria"/>
          <w:sz w:val="26"/>
          <w:szCs w:val="26"/>
        </w:rPr>
        <w:t>respeitosamente,</w:t>
      </w:r>
      <w:r w:rsidR="00420AD6">
        <w:rPr>
          <w:rFonts w:ascii="Cambria" w:hAnsi="Cambria"/>
          <w:sz w:val="26"/>
          <w:szCs w:val="26"/>
        </w:rPr>
        <w:t xml:space="preserve"> apresentar </w:t>
      </w:r>
      <w:r w:rsidR="004F39C7">
        <w:rPr>
          <w:rFonts w:ascii="Cambria" w:hAnsi="Cambria"/>
          <w:sz w:val="26"/>
          <w:szCs w:val="26"/>
        </w:rPr>
        <w:t>a</w:t>
      </w:r>
      <w:r w:rsidR="00420AD6">
        <w:rPr>
          <w:rFonts w:ascii="Cambria" w:hAnsi="Cambria"/>
          <w:sz w:val="26"/>
          <w:szCs w:val="26"/>
        </w:rPr>
        <w:t xml:space="preserve"> presente </w:t>
      </w:r>
      <w:r w:rsidR="004F39C7">
        <w:rPr>
          <w:rFonts w:ascii="Cambria" w:hAnsi="Cambria"/>
          <w:b/>
          <w:sz w:val="26"/>
          <w:szCs w:val="26"/>
        </w:rPr>
        <w:t>REQUISIÇÃO</w:t>
      </w:r>
      <w:r w:rsidR="00E162C3" w:rsidRPr="00E162C3">
        <w:rPr>
          <w:rFonts w:ascii="Cambria" w:hAnsi="Cambria"/>
          <w:b/>
          <w:sz w:val="26"/>
          <w:szCs w:val="26"/>
        </w:rPr>
        <w:t xml:space="preserve"> DE GRATUIDADE DE EMOLUMENTOS</w:t>
      </w:r>
      <w:r w:rsidR="00420AD6">
        <w:rPr>
          <w:rFonts w:ascii="Cambria" w:hAnsi="Cambria"/>
          <w:sz w:val="26"/>
          <w:szCs w:val="26"/>
        </w:rPr>
        <w:t>.</w:t>
      </w:r>
    </w:p>
    <w:p w:rsidR="00F24084" w:rsidRDefault="00F24084" w:rsidP="00F24084">
      <w:pPr>
        <w:spacing w:after="0" w:line="240" w:lineRule="auto"/>
        <w:ind w:left="851" w:right="567"/>
        <w:jc w:val="both"/>
        <w:rPr>
          <w:rFonts w:ascii="Cambria" w:hAnsi="Cambria"/>
          <w:sz w:val="26"/>
          <w:szCs w:val="26"/>
        </w:rPr>
      </w:pPr>
    </w:p>
    <w:p w:rsidR="001B760C" w:rsidRDefault="001B760C" w:rsidP="00F24084">
      <w:pPr>
        <w:spacing w:after="0" w:line="240" w:lineRule="auto"/>
        <w:ind w:left="851" w:right="567"/>
        <w:jc w:val="both"/>
        <w:rPr>
          <w:rFonts w:ascii="Cambria" w:hAnsi="Cambria"/>
          <w:sz w:val="26"/>
          <w:szCs w:val="26"/>
        </w:rPr>
      </w:pPr>
    </w:p>
    <w:p w:rsidR="000C01CD" w:rsidRPr="001B760C" w:rsidRDefault="00420AD6" w:rsidP="000C01CD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Pede-se que, como de praxe, seja enviada a notificação extrajudicial em anexo independentemente da necessidade de pagamento de emolumentos.</w:t>
      </w:r>
    </w:p>
    <w:p w:rsidR="00420AD6" w:rsidRPr="001B760C" w:rsidRDefault="00420AD6" w:rsidP="00420AD6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Pr="001B760C" w:rsidRDefault="004F39C7" w:rsidP="001B760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presente requisição</w:t>
      </w:r>
      <w:r w:rsidR="001B760C" w:rsidRPr="001B760C">
        <w:rPr>
          <w:rFonts w:ascii="Cambria" w:hAnsi="Cambria"/>
          <w:sz w:val="24"/>
          <w:szCs w:val="24"/>
        </w:rPr>
        <w:t xml:space="preserve"> encontra suporte nos seguintes dispositivos legais:</w:t>
      </w:r>
    </w:p>
    <w:p w:rsidR="001B760C" w:rsidRPr="001B760C" w:rsidRDefault="001B760C" w:rsidP="001B760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spacing w:after="0" w:line="240" w:lineRule="auto"/>
        <w:ind w:left="2268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 xml:space="preserve"> </w:t>
      </w:r>
      <w:proofErr w:type="gramStart"/>
      <w:r w:rsidRPr="001B760C">
        <w:rPr>
          <w:rFonts w:ascii="Cambria" w:hAnsi="Cambria"/>
          <w:sz w:val="24"/>
          <w:szCs w:val="24"/>
        </w:rPr>
        <w:t>“Art. 128.</w:t>
      </w:r>
      <w:proofErr w:type="gramEnd"/>
      <w:r w:rsidRPr="001B760C">
        <w:rPr>
          <w:rFonts w:ascii="Cambria" w:hAnsi="Cambria"/>
          <w:sz w:val="24"/>
          <w:szCs w:val="24"/>
        </w:rPr>
        <w:t xml:space="preserve"> São prerrogativas dos membros da Defensoria Pública do Estado, dentre outras que a lei local estabelecer:</w:t>
      </w:r>
    </w:p>
    <w:p w:rsidR="001B760C" w:rsidRPr="001B760C" w:rsidRDefault="001B760C" w:rsidP="001B760C">
      <w:pPr>
        <w:spacing w:after="0" w:line="240" w:lineRule="auto"/>
        <w:ind w:left="2268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(...)</w:t>
      </w:r>
    </w:p>
    <w:p w:rsidR="001B760C" w:rsidRPr="001B760C" w:rsidRDefault="001B760C" w:rsidP="001B760C">
      <w:pPr>
        <w:spacing w:after="0" w:line="240" w:lineRule="auto"/>
        <w:ind w:left="2268"/>
        <w:jc w:val="both"/>
        <w:rPr>
          <w:rFonts w:ascii="Cambria" w:hAnsi="Cambria"/>
          <w:sz w:val="24"/>
          <w:szCs w:val="24"/>
        </w:rPr>
      </w:pPr>
      <w:proofErr w:type="gramStart"/>
      <w:r w:rsidRPr="001B760C">
        <w:rPr>
          <w:rFonts w:ascii="Cambria" w:hAnsi="Cambria"/>
          <w:sz w:val="24"/>
          <w:szCs w:val="24"/>
        </w:rPr>
        <w:t>X - requisitar de autoridade pública ou de seus agentes exames, certidões, perícias, vistorias, diligências, processos, documentos, informações, esclarecimentos e providências necessárias ao exercício de suas atribuições;”</w:t>
      </w:r>
      <w:proofErr w:type="gramEnd"/>
      <w:r w:rsidRPr="001B760C">
        <w:rPr>
          <w:rFonts w:ascii="Cambria" w:hAnsi="Cambria"/>
          <w:sz w:val="24"/>
          <w:szCs w:val="24"/>
        </w:rPr>
        <w:t xml:space="preserve"> (Lei Complementar Federal 80/1994)</w:t>
      </w:r>
    </w:p>
    <w:p w:rsidR="001B760C" w:rsidRPr="001B760C" w:rsidRDefault="001B760C" w:rsidP="001B760C">
      <w:pPr>
        <w:spacing w:after="0" w:line="240" w:lineRule="auto"/>
        <w:ind w:left="2268"/>
        <w:jc w:val="both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spacing w:after="0" w:line="240" w:lineRule="auto"/>
        <w:ind w:left="2268"/>
        <w:jc w:val="both"/>
        <w:rPr>
          <w:rFonts w:ascii="Cambria" w:hAnsi="Cambria"/>
          <w:sz w:val="24"/>
          <w:szCs w:val="24"/>
        </w:rPr>
      </w:pPr>
      <w:proofErr w:type="gramStart"/>
      <w:r w:rsidRPr="001B760C">
        <w:rPr>
          <w:rFonts w:ascii="Cambria" w:hAnsi="Cambria"/>
          <w:sz w:val="24"/>
          <w:szCs w:val="24"/>
        </w:rPr>
        <w:t>“Art. 74 – São prerrogativas dos membros da Defensoria Pública no exercício de suas atribuições:</w:t>
      </w:r>
    </w:p>
    <w:p w:rsidR="001B760C" w:rsidRPr="001B760C" w:rsidRDefault="001B760C" w:rsidP="001B760C">
      <w:pPr>
        <w:spacing w:after="0" w:line="240" w:lineRule="auto"/>
        <w:ind w:left="2268"/>
        <w:jc w:val="both"/>
        <w:rPr>
          <w:rFonts w:ascii="Cambria" w:hAnsi="Cambria"/>
          <w:sz w:val="24"/>
          <w:szCs w:val="24"/>
        </w:rPr>
      </w:pPr>
      <w:proofErr w:type="gramEnd"/>
      <w:r w:rsidRPr="001B760C">
        <w:rPr>
          <w:rFonts w:ascii="Cambria" w:hAnsi="Cambria"/>
          <w:sz w:val="24"/>
          <w:szCs w:val="24"/>
        </w:rPr>
        <w:t>(...)</w:t>
      </w:r>
    </w:p>
    <w:p w:rsidR="001B760C" w:rsidRPr="001B760C" w:rsidRDefault="001B760C" w:rsidP="001B760C">
      <w:pPr>
        <w:spacing w:after="0" w:line="240" w:lineRule="auto"/>
        <w:ind w:left="2268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IX – requisitar de autoridade pública ou de seus agentes, civis e militares, exames, certidões, perícias, vistorias, diligências, processos, documentos, informações, esclarecimentos e providências;</w:t>
      </w:r>
    </w:p>
    <w:p w:rsidR="001B760C" w:rsidRPr="001B760C" w:rsidRDefault="001B760C" w:rsidP="001B760C">
      <w:pPr>
        <w:spacing w:after="0" w:line="240" w:lineRule="auto"/>
        <w:ind w:left="2268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(...)</w:t>
      </w:r>
    </w:p>
    <w:p w:rsidR="001B760C" w:rsidRPr="001B760C" w:rsidRDefault="001B760C" w:rsidP="001B760C">
      <w:pPr>
        <w:spacing w:after="0" w:line="240" w:lineRule="auto"/>
        <w:ind w:left="2268"/>
        <w:jc w:val="both"/>
        <w:rPr>
          <w:rFonts w:ascii="Cambria" w:hAnsi="Cambria"/>
          <w:sz w:val="24"/>
          <w:szCs w:val="24"/>
        </w:rPr>
      </w:pPr>
      <w:proofErr w:type="gramStart"/>
      <w:r w:rsidRPr="001B760C">
        <w:rPr>
          <w:rFonts w:ascii="Cambria" w:hAnsi="Cambria"/>
          <w:sz w:val="24"/>
          <w:szCs w:val="24"/>
        </w:rPr>
        <w:t>XIII – expedir notificação para o fiel desempenho de suas atribuições;”</w:t>
      </w:r>
      <w:proofErr w:type="gramEnd"/>
      <w:r w:rsidRPr="001B760C">
        <w:rPr>
          <w:rFonts w:ascii="Cambria" w:hAnsi="Cambria"/>
          <w:sz w:val="24"/>
          <w:szCs w:val="24"/>
        </w:rPr>
        <w:t xml:space="preserve"> (Lei Complementar Estadual 65/2003)</w:t>
      </w:r>
    </w:p>
    <w:p w:rsidR="001B760C" w:rsidRPr="001B760C" w:rsidRDefault="001B760C" w:rsidP="001B760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 xml:space="preserve">Vale lembrar que o fornecimento de certidões é gratuito para os assistidos pela Defensoria Pública, em razão da assistência jurídica ampla e integral, nos </w:t>
      </w:r>
      <w:r w:rsidRPr="001B760C">
        <w:rPr>
          <w:rFonts w:ascii="Cambria" w:hAnsi="Cambria"/>
          <w:sz w:val="24"/>
          <w:szCs w:val="24"/>
        </w:rPr>
        <w:lastRenderedPageBreak/>
        <w:t>termos do art. 1º da Lei Complementar 80/1994</w:t>
      </w:r>
      <w:r w:rsidRPr="001B760C">
        <w:rPr>
          <w:rStyle w:val="Refdenotaderodap"/>
          <w:rFonts w:ascii="Cambria" w:hAnsi="Cambria"/>
          <w:sz w:val="24"/>
          <w:szCs w:val="24"/>
        </w:rPr>
        <w:footnoteReference w:id="1"/>
      </w:r>
      <w:r w:rsidRPr="001B760C">
        <w:rPr>
          <w:rFonts w:ascii="Cambria" w:hAnsi="Cambria"/>
          <w:sz w:val="24"/>
          <w:szCs w:val="24"/>
        </w:rPr>
        <w:t xml:space="preserve"> e dos </w:t>
      </w:r>
      <w:proofErr w:type="spellStart"/>
      <w:r w:rsidRPr="001B760C">
        <w:rPr>
          <w:rFonts w:ascii="Cambria" w:hAnsi="Cambria"/>
          <w:sz w:val="24"/>
          <w:szCs w:val="24"/>
        </w:rPr>
        <w:t>arts</w:t>
      </w:r>
      <w:proofErr w:type="spellEnd"/>
      <w:r w:rsidRPr="001B760C">
        <w:rPr>
          <w:rFonts w:ascii="Cambria" w:hAnsi="Cambria"/>
          <w:sz w:val="24"/>
          <w:szCs w:val="24"/>
        </w:rPr>
        <w:t>. 20 e 21 da Lei Estadual 15.424/2004.</w:t>
      </w:r>
    </w:p>
    <w:p w:rsidR="001B760C" w:rsidRPr="001B760C" w:rsidRDefault="001B760C" w:rsidP="001B760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Como cediço, a gratuidade no pagamento de emolumentos decorre do acompanhamento do cidadão pela Defensoria Pública, nos termos da legislação.</w:t>
      </w:r>
    </w:p>
    <w:p w:rsidR="001B760C" w:rsidRPr="001B760C" w:rsidRDefault="001B760C" w:rsidP="001B760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 xml:space="preserve">Com efeito, consta na legislação federal, notadamente na Lei Complementar 80/1994, que incumbe à Defensoria Pública promover a assistência jurídica </w:t>
      </w:r>
      <w:r w:rsidRPr="001B760C">
        <w:rPr>
          <w:rFonts w:ascii="Cambria" w:hAnsi="Cambria"/>
          <w:b/>
          <w:sz w:val="24"/>
          <w:szCs w:val="24"/>
          <w:u w:val="single"/>
        </w:rPr>
        <w:t>integral e gratuita</w:t>
      </w:r>
      <w:r w:rsidRPr="001B760C">
        <w:rPr>
          <w:rFonts w:ascii="Cambria" w:hAnsi="Cambria"/>
          <w:sz w:val="24"/>
          <w:szCs w:val="24"/>
        </w:rPr>
        <w:t>, que vai além da mera assistência judiciária, uma vez que abrange a gratuidade pela via extrajudicial:</w:t>
      </w:r>
    </w:p>
    <w:p w:rsidR="001B760C" w:rsidRPr="001B760C" w:rsidRDefault="001B760C" w:rsidP="001B760C">
      <w:pPr>
        <w:pStyle w:val="PargrafodaLista"/>
        <w:spacing w:after="0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pStyle w:val="PargrafodaLista"/>
        <w:spacing w:after="0"/>
        <w:ind w:left="2268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“Art. 3º-A.</w:t>
      </w:r>
      <w:proofErr w:type="gramStart"/>
      <w:r w:rsidRPr="001B760C">
        <w:rPr>
          <w:rFonts w:ascii="Cambria" w:hAnsi="Cambria"/>
          <w:sz w:val="24"/>
          <w:szCs w:val="24"/>
        </w:rPr>
        <w:t xml:space="preserve">  </w:t>
      </w:r>
      <w:proofErr w:type="gramEnd"/>
      <w:r w:rsidRPr="001B760C">
        <w:rPr>
          <w:rFonts w:ascii="Cambria" w:hAnsi="Cambria"/>
          <w:sz w:val="24"/>
          <w:szCs w:val="24"/>
        </w:rPr>
        <w:t>São objetivos da Defensoria Pública: (Incluído pela Lei Complementar nº 132, de 2009).</w:t>
      </w:r>
    </w:p>
    <w:p w:rsidR="001B760C" w:rsidRPr="001B760C" w:rsidRDefault="001B760C" w:rsidP="001B760C">
      <w:pPr>
        <w:pStyle w:val="PargrafodaLista"/>
        <w:spacing w:after="0"/>
        <w:ind w:left="2268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§ 5º</w:t>
      </w:r>
      <w:proofErr w:type="gramStart"/>
      <w:r w:rsidRPr="001B760C">
        <w:rPr>
          <w:rFonts w:ascii="Cambria" w:hAnsi="Cambria"/>
          <w:sz w:val="24"/>
          <w:szCs w:val="24"/>
        </w:rPr>
        <w:t xml:space="preserve">  </w:t>
      </w:r>
      <w:proofErr w:type="gramEnd"/>
      <w:r w:rsidRPr="001B760C">
        <w:rPr>
          <w:rFonts w:ascii="Cambria" w:hAnsi="Cambria"/>
          <w:sz w:val="24"/>
          <w:szCs w:val="24"/>
        </w:rPr>
        <w:t xml:space="preserve">A assistência </w:t>
      </w:r>
      <w:r w:rsidRPr="001B760C">
        <w:rPr>
          <w:rFonts w:ascii="Cambria" w:hAnsi="Cambria"/>
          <w:b/>
          <w:sz w:val="24"/>
          <w:szCs w:val="24"/>
          <w:u w:val="single"/>
        </w:rPr>
        <w:t>jurídica integral e gratuita</w:t>
      </w:r>
      <w:r w:rsidRPr="001B760C">
        <w:rPr>
          <w:rFonts w:ascii="Cambria" w:hAnsi="Cambria"/>
          <w:sz w:val="24"/>
          <w:szCs w:val="24"/>
        </w:rPr>
        <w:t xml:space="preserve"> custeada ou fornecida pelo Estado será exercida pela Defensoria Pública. (Incluído pela Lei Complementar nº 132, de 2009).</w:t>
      </w:r>
    </w:p>
    <w:p w:rsidR="001B760C" w:rsidRPr="001B760C" w:rsidRDefault="001B760C" w:rsidP="001B760C">
      <w:pPr>
        <w:pStyle w:val="PargrafodaLista"/>
        <w:spacing w:after="0"/>
        <w:ind w:left="2268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(...)</w:t>
      </w:r>
    </w:p>
    <w:p w:rsidR="001B760C" w:rsidRPr="001B760C" w:rsidRDefault="001B760C" w:rsidP="001B760C">
      <w:pPr>
        <w:pStyle w:val="PargrafodaLista"/>
        <w:ind w:left="2268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 xml:space="preserve">Art. 106. </w:t>
      </w:r>
      <w:proofErr w:type="gramStart"/>
      <w:r w:rsidRPr="001B760C">
        <w:rPr>
          <w:rFonts w:ascii="Cambria" w:hAnsi="Cambria"/>
          <w:b/>
          <w:sz w:val="24"/>
          <w:szCs w:val="24"/>
          <w:u w:val="single"/>
        </w:rPr>
        <w:t>A Defensoria Pública do Estado</w:t>
      </w:r>
      <w:r w:rsidRPr="001B760C">
        <w:rPr>
          <w:rFonts w:ascii="Cambria" w:hAnsi="Cambria"/>
          <w:sz w:val="24"/>
          <w:szCs w:val="24"/>
        </w:rPr>
        <w:t xml:space="preserve"> prestará assistência jurídica aos necessitados, em todos os graus de jurisdição </w:t>
      </w:r>
      <w:r w:rsidRPr="001B760C">
        <w:rPr>
          <w:rFonts w:ascii="Cambria" w:hAnsi="Cambria"/>
          <w:b/>
          <w:sz w:val="24"/>
          <w:szCs w:val="24"/>
          <w:u w:val="single"/>
        </w:rPr>
        <w:t>e instâncias administrativas do Estado.”</w:t>
      </w:r>
      <w:proofErr w:type="gramEnd"/>
    </w:p>
    <w:p w:rsidR="001B760C" w:rsidRPr="001B760C" w:rsidRDefault="001B760C" w:rsidP="001B760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A mesma norma decorre do art. 4º da Lei Complementar Estadual 65/2003:</w:t>
      </w:r>
    </w:p>
    <w:p w:rsidR="001B760C" w:rsidRPr="001B760C" w:rsidRDefault="001B760C" w:rsidP="001B760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ind w:left="2268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 xml:space="preserve">“Art. 4° – A Defensoria Pública é instituição essencial à função jurisdicional do Estado, incumbindo-lhe prestar </w:t>
      </w:r>
      <w:r w:rsidRPr="001B760C">
        <w:rPr>
          <w:rFonts w:ascii="Cambria" w:hAnsi="Cambria"/>
          <w:b/>
          <w:sz w:val="24"/>
          <w:szCs w:val="24"/>
          <w:u w:val="single"/>
        </w:rPr>
        <w:t>assistência jurídica, judicial e extrajudicial, integral e gratuita aos necessitados</w:t>
      </w:r>
      <w:r w:rsidRPr="001B760C">
        <w:rPr>
          <w:rFonts w:ascii="Cambria" w:hAnsi="Cambria"/>
          <w:sz w:val="24"/>
          <w:szCs w:val="24"/>
        </w:rPr>
        <w:t>, compreendendo a orientação jurídica e a postulação e defesa de seus direitos e interesses em todos os graus e instâncias.”</w:t>
      </w:r>
    </w:p>
    <w:p w:rsidR="001B760C" w:rsidRPr="001B760C" w:rsidRDefault="001B760C" w:rsidP="001B760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Tais dispositivos afastam qualquer outro regramento normativo, pelo critério da especialidade (</w:t>
      </w:r>
      <w:proofErr w:type="spellStart"/>
      <w:proofErr w:type="gramStart"/>
      <w:r w:rsidRPr="001B760C">
        <w:rPr>
          <w:rFonts w:ascii="Cambria" w:hAnsi="Cambria"/>
          <w:i/>
          <w:sz w:val="24"/>
          <w:szCs w:val="24"/>
        </w:rPr>
        <w:t>lex</w:t>
      </w:r>
      <w:proofErr w:type="spellEnd"/>
      <w:proofErr w:type="gramEnd"/>
      <w:r w:rsidRPr="001B760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B760C">
        <w:rPr>
          <w:rFonts w:ascii="Cambria" w:hAnsi="Cambria"/>
          <w:i/>
          <w:sz w:val="24"/>
          <w:szCs w:val="24"/>
        </w:rPr>
        <w:t>speciali</w:t>
      </w:r>
      <w:proofErr w:type="spellEnd"/>
      <w:r w:rsidRPr="001B760C">
        <w:rPr>
          <w:rFonts w:ascii="Cambria" w:hAnsi="Cambria"/>
          <w:sz w:val="24"/>
          <w:szCs w:val="24"/>
        </w:rPr>
        <w:t xml:space="preserve">) do microssistema de tutela jurídica do hipossuficiente, em razão da peculiar função constitucional da Defensoria </w:t>
      </w:r>
      <w:r w:rsidRPr="001B760C">
        <w:rPr>
          <w:rFonts w:ascii="Cambria" w:hAnsi="Cambria"/>
          <w:sz w:val="24"/>
          <w:szCs w:val="24"/>
        </w:rPr>
        <w:lastRenderedPageBreak/>
        <w:t>Pública de prestar a assistência jurídica integral e gratuita aos legalmente necessitados.</w:t>
      </w:r>
    </w:p>
    <w:p w:rsidR="001B760C" w:rsidRPr="001B760C" w:rsidRDefault="001B760C" w:rsidP="001B760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De toda forma, a gratuidade decorre também (mas não exclusivamente!) do art. 19 da Lei Estadual 15.424/2004:</w:t>
      </w:r>
    </w:p>
    <w:p w:rsidR="001B760C" w:rsidRPr="001B760C" w:rsidRDefault="001B760C" w:rsidP="001B760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spacing w:after="0" w:line="240" w:lineRule="auto"/>
        <w:ind w:left="2268"/>
        <w:jc w:val="both"/>
        <w:rPr>
          <w:rFonts w:ascii="Cambria" w:hAnsi="Cambria"/>
          <w:sz w:val="24"/>
          <w:szCs w:val="24"/>
        </w:rPr>
      </w:pPr>
      <w:proofErr w:type="gramStart"/>
      <w:r w:rsidRPr="001B760C">
        <w:rPr>
          <w:rFonts w:ascii="Cambria" w:hAnsi="Cambria"/>
          <w:sz w:val="24"/>
          <w:szCs w:val="24"/>
        </w:rPr>
        <w:t>“Art. 19 - Os órgãos da Administração direta do Estado ficam isentos do pagamento de emolumentos e da Taxa de Fiscalização Judiciária pela prática de atos notariais e de registro de seu interesse.</w:t>
      </w:r>
      <w:proofErr w:type="gramEnd"/>
    </w:p>
    <w:p w:rsidR="001B760C" w:rsidRPr="001B760C" w:rsidRDefault="001B760C" w:rsidP="001B760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É verdade que a Defensoria Pública não integra a Administração Direta do Estado, em razão de sua autonomia recentemente concretizada no ordenamento pátrio. Todavia, essa desvinculação não foi concedida para reduzir o nível de tutela do cidadão carente, o que ademais decorre da proibição de retrocesso acerca da tutela dos direitos fundamentais, entre os quais se inclui o acesso à ordem jurídica justa.</w:t>
      </w:r>
    </w:p>
    <w:p w:rsidR="001B760C" w:rsidRPr="001B760C" w:rsidRDefault="001B760C" w:rsidP="001B760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 xml:space="preserve">Do ponto de vista do Direito Tributário, o que se aborda para a hipótese de se entender que os emolumentos possuem a natureza jurídica de taxa ou de outro tributo, se é certo afirmar que somente o ente competente pode instituir isenções, por outro lado deve-se ter em conta que </w:t>
      </w:r>
      <w:r w:rsidRPr="001B760C">
        <w:rPr>
          <w:rFonts w:ascii="Cambria" w:hAnsi="Cambria"/>
          <w:b/>
          <w:sz w:val="24"/>
          <w:szCs w:val="24"/>
        </w:rPr>
        <w:t xml:space="preserve">o próprio Estado de Minas Gerais incumbiu-se de abdicar de qualquer receita no que diz respeito às requisições da Defensoria Pública, o que está claramente posto no art. 74, IX, da Lei Complementar </w:t>
      </w:r>
      <w:r w:rsidRPr="001B760C">
        <w:rPr>
          <w:rFonts w:ascii="Cambria" w:hAnsi="Cambria"/>
          <w:b/>
          <w:sz w:val="24"/>
          <w:szCs w:val="24"/>
          <w:u w:val="single"/>
        </w:rPr>
        <w:t>Estadual</w:t>
      </w:r>
      <w:r w:rsidRPr="001B760C">
        <w:rPr>
          <w:rFonts w:ascii="Cambria" w:hAnsi="Cambria"/>
          <w:b/>
          <w:sz w:val="24"/>
          <w:szCs w:val="24"/>
        </w:rPr>
        <w:t xml:space="preserve"> 65/2003</w:t>
      </w:r>
      <w:r w:rsidRPr="001B760C">
        <w:rPr>
          <w:rFonts w:ascii="Cambria" w:hAnsi="Cambria"/>
          <w:sz w:val="24"/>
          <w:szCs w:val="24"/>
        </w:rPr>
        <w:t>.</w:t>
      </w:r>
    </w:p>
    <w:p w:rsidR="001B760C" w:rsidRPr="001B760C" w:rsidRDefault="001B760C" w:rsidP="001B760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Pr="001B760C" w:rsidRDefault="001B760C" w:rsidP="001B760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60C">
        <w:rPr>
          <w:rFonts w:ascii="Cambria" w:hAnsi="Cambria"/>
          <w:sz w:val="24"/>
          <w:szCs w:val="24"/>
        </w:rPr>
        <w:t>Por fim, tenha-se que a Corregedoria do TJMG posicionou-se, recentemente, no sentido de que qualquer requisição realizada por Defensor Público deve ser atendida gratuitamente pelas Serventias Cartoriais (Processo 51.147/11 – cópia em anexo).</w:t>
      </w:r>
    </w:p>
    <w:p w:rsidR="001B760C" w:rsidRPr="001B760C" w:rsidRDefault="001B760C" w:rsidP="001B760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AA0D0D" w:rsidRPr="001B760C" w:rsidRDefault="00E20A38" w:rsidP="00E20A3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B760C">
        <w:rPr>
          <w:rFonts w:ascii="Cambria" w:hAnsi="Cambria"/>
          <w:b/>
          <w:sz w:val="24"/>
          <w:szCs w:val="24"/>
        </w:rPr>
        <w:t xml:space="preserve">Portanto, pede-se </w:t>
      </w:r>
      <w:r w:rsidR="00AA0D0D" w:rsidRPr="001B760C">
        <w:rPr>
          <w:rFonts w:ascii="Cambria" w:hAnsi="Cambria"/>
          <w:b/>
          <w:sz w:val="24"/>
          <w:szCs w:val="24"/>
        </w:rPr>
        <w:t xml:space="preserve">o </w:t>
      </w:r>
      <w:r w:rsidR="00E162C3" w:rsidRPr="001B760C">
        <w:rPr>
          <w:rFonts w:ascii="Cambria" w:hAnsi="Cambria"/>
          <w:b/>
          <w:sz w:val="24"/>
          <w:szCs w:val="24"/>
        </w:rPr>
        <w:t>acolhimento do pedido de gratuidade de emolumentos para o envio da notificação em anexo</w:t>
      </w:r>
      <w:r w:rsidR="00AA0D0D" w:rsidRPr="001B760C">
        <w:rPr>
          <w:rFonts w:ascii="Cambria" w:hAnsi="Cambria"/>
          <w:b/>
          <w:sz w:val="24"/>
          <w:szCs w:val="24"/>
        </w:rPr>
        <w:t>.</w:t>
      </w:r>
    </w:p>
    <w:p w:rsidR="00AA0D0D" w:rsidRPr="00E162C3" w:rsidRDefault="00AA0D0D" w:rsidP="00AA0D0D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1B760C" w:rsidRDefault="001B760C" w:rsidP="001B760C">
      <w:pPr>
        <w:spacing w:after="0" w:line="240" w:lineRule="auto"/>
        <w:ind w:left="851" w:right="567"/>
        <w:jc w:val="both"/>
        <w:rPr>
          <w:rFonts w:ascii="Cambria" w:hAnsi="Cambria"/>
          <w:sz w:val="26"/>
          <w:szCs w:val="26"/>
        </w:rPr>
      </w:pPr>
      <w:r w:rsidRPr="00924945">
        <w:rPr>
          <w:rFonts w:ascii="Cambria" w:hAnsi="Cambria"/>
          <w:sz w:val="26"/>
          <w:szCs w:val="26"/>
        </w:rPr>
        <w:t xml:space="preserve">Belo Horizonte, </w:t>
      </w:r>
      <w:r>
        <w:rPr>
          <w:rFonts w:ascii="Cambria" w:hAnsi="Cambria"/>
          <w:sz w:val="26"/>
          <w:szCs w:val="26"/>
        </w:rPr>
        <w:t>___ de ________ de 20___.</w:t>
      </w:r>
    </w:p>
    <w:p w:rsidR="001B760C" w:rsidRPr="00924945" w:rsidRDefault="001B760C" w:rsidP="001B760C">
      <w:pPr>
        <w:spacing w:after="0" w:line="240" w:lineRule="auto"/>
        <w:ind w:left="851" w:right="567"/>
        <w:jc w:val="both"/>
        <w:rPr>
          <w:rFonts w:ascii="Cambria" w:hAnsi="Cambria"/>
          <w:sz w:val="26"/>
          <w:szCs w:val="26"/>
        </w:rPr>
      </w:pPr>
    </w:p>
    <w:p w:rsidR="001B760C" w:rsidRDefault="001B760C" w:rsidP="001B760C">
      <w:pPr>
        <w:spacing w:after="0" w:line="240" w:lineRule="auto"/>
        <w:ind w:left="851" w:right="567"/>
        <w:jc w:val="both"/>
        <w:rPr>
          <w:rFonts w:ascii="Cambria" w:hAnsi="Cambria"/>
          <w:sz w:val="26"/>
          <w:szCs w:val="26"/>
        </w:rPr>
      </w:pPr>
    </w:p>
    <w:p w:rsidR="001B760C" w:rsidRDefault="001B760C" w:rsidP="001B760C">
      <w:pPr>
        <w:spacing w:after="0" w:line="240" w:lineRule="auto"/>
        <w:ind w:left="851" w:right="567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Defensor Público</w:t>
      </w:r>
    </w:p>
    <w:p w:rsidR="001B760C" w:rsidRDefault="001B760C" w:rsidP="001B760C">
      <w:pPr>
        <w:spacing w:after="0" w:line="240" w:lineRule="auto"/>
        <w:ind w:left="851" w:right="567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MADEP      </w:t>
      </w:r>
    </w:p>
    <w:p w:rsidR="00350E5E" w:rsidRPr="00420AD6" w:rsidRDefault="00350E5E" w:rsidP="001B760C">
      <w:pPr>
        <w:spacing w:after="0" w:line="240" w:lineRule="auto"/>
        <w:ind w:left="851" w:right="567"/>
        <w:jc w:val="both"/>
        <w:rPr>
          <w:rFonts w:ascii="Cambria" w:hAnsi="Cambria"/>
          <w:b/>
          <w:sz w:val="26"/>
          <w:szCs w:val="26"/>
        </w:rPr>
      </w:pPr>
    </w:p>
    <w:sectPr w:rsidR="00350E5E" w:rsidRPr="00420AD6" w:rsidSect="00446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701" w:header="426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7A" w:rsidRDefault="00C17C7A" w:rsidP="00CA2C2E">
      <w:pPr>
        <w:spacing w:after="0" w:line="240" w:lineRule="auto"/>
      </w:pPr>
      <w:r>
        <w:separator/>
      </w:r>
    </w:p>
  </w:endnote>
  <w:endnote w:type="continuationSeparator" w:id="0">
    <w:p w:rsidR="00C17C7A" w:rsidRDefault="00C17C7A" w:rsidP="00CA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E2" w:rsidRDefault="00185E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5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370"/>
      <w:gridCol w:w="1371"/>
      <w:gridCol w:w="5484"/>
    </w:tblGrid>
    <w:tr w:rsidR="00CF1527" w:rsidTr="00E21C05">
      <w:trPr>
        <w:trHeight w:val="228"/>
      </w:trPr>
      <w:tc>
        <w:tcPr>
          <w:tcW w:w="1370" w:type="dxa"/>
          <w:tcBorders>
            <w:top w:val="nil"/>
            <w:left w:val="nil"/>
            <w:bottom w:val="single" w:sz="4" w:space="0" w:color="7F7F7F"/>
            <w:right w:val="single" w:sz="12" w:space="0" w:color="7F7F7F"/>
          </w:tcBorders>
        </w:tcPr>
        <w:p w:rsidR="00CF1527" w:rsidRDefault="0053345C" w:rsidP="007A77F8">
          <w:pPr>
            <w:pStyle w:val="Rodap"/>
            <w:spacing w:after="0"/>
          </w:pPr>
          <w:fldSimple w:instr=" PAGE   \* MERGEFORMAT ">
            <w:r w:rsidR="00D6082F">
              <w:rPr>
                <w:noProof/>
              </w:rPr>
              <w:t>1</w:t>
            </w:r>
          </w:fldSimple>
          <w:r w:rsidR="00CF1527">
            <w:t xml:space="preserve"> </w:t>
          </w:r>
        </w:p>
      </w:tc>
      <w:tc>
        <w:tcPr>
          <w:tcW w:w="1371" w:type="dxa"/>
          <w:vMerge w:val="restart"/>
          <w:tcBorders>
            <w:top w:val="nil"/>
            <w:left w:val="single" w:sz="12" w:space="0" w:color="7F7F7F"/>
            <w:bottom w:val="nil"/>
            <w:right w:val="single" w:sz="12" w:space="0" w:color="7F7F7F"/>
          </w:tcBorders>
        </w:tcPr>
        <w:p w:rsidR="00CF1527" w:rsidRPr="00443E38" w:rsidRDefault="000C01CD" w:rsidP="007A77F8">
          <w:pPr>
            <w:pStyle w:val="Rodap"/>
            <w:spacing w:after="0"/>
            <w:rPr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Requisição administrativa</w:t>
          </w:r>
        </w:p>
      </w:tc>
      <w:tc>
        <w:tcPr>
          <w:tcW w:w="5484" w:type="dxa"/>
          <w:tcBorders>
            <w:top w:val="nil"/>
            <w:left w:val="single" w:sz="12" w:space="0" w:color="7F7F7F"/>
            <w:bottom w:val="single" w:sz="4" w:space="0" w:color="7F7F7F"/>
            <w:right w:val="nil"/>
          </w:tcBorders>
        </w:tcPr>
        <w:p w:rsidR="00CF1527" w:rsidRDefault="0053345C" w:rsidP="007A77F8">
          <w:pPr>
            <w:pStyle w:val="Rodap"/>
            <w:spacing w:after="0"/>
          </w:pPr>
          <w:r w:rsidRPr="0053345C">
            <w:rPr>
              <w:rFonts w:ascii="Cambria" w:hAnsi="Cambria"/>
              <w:noProof/>
              <w:sz w:val="28"/>
              <w:szCs w:val="28"/>
              <w:lang w:eastAsia="zh-TW"/>
            </w:rPr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65" type="#_x0000_t176" style="position:absolute;margin-left:548.2pt;margin-top:-859.75pt;width:26.8pt;height:28.25pt;rotation:360;z-index:251658240;mso-position-horizontal-relative:page;mso-position-vertical-relative:page" adj="-5441,25348" filled="f" fillcolor="#4f81bd" stroked="f" strokecolor="#737373">
                <v:fill color2="#a7bfde" type="pattern"/>
                <v:textbox style="mso-next-textbox:#_x0000_s2065">
                  <w:txbxContent>
                    <w:p w:rsidR="00CF1527" w:rsidRDefault="0053345C" w:rsidP="00CF1527">
                      <w:pPr>
                        <w:pStyle w:val="Rodap"/>
                        <w:pBdr>
                          <w:top w:val="single" w:sz="12" w:space="1" w:color="9BBB59"/>
                          <w:bottom w:val="single" w:sz="48" w:space="1" w:color="9BBB59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fldSimple w:instr=" PAGE    \* MERGEFORMAT ">
                        <w:r w:rsidR="00D6082F" w:rsidRPr="00D6082F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w:r>
        </w:p>
      </w:tc>
    </w:tr>
    <w:tr w:rsidR="00CF1527" w:rsidTr="00E21C05">
      <w:trPr>
        <w:trHeight w:val="227"/>
      </w:trPr>
      <w:tc>
        <w:tcPr>
          <w:tcW w:w="1370" w:type="dxa"/>
          <w:tcBorders>
            <w:top w:val="single" w:sz="4" w:space="0" w:color="7F7F7F"/>
            <w:left w:val="nil"/>
            <w:bottom w:val="nil"/>
            <w:right w:val="single" w:sz="12" w:space="0" w:color="7F7F7F"/>
          </w:tcBorders>
        </w:tcPr>
        <w:p w:rsidR="00CF1527" w:rsidRDefault="00CF1527" w:rsidP="007A77F8">
          <w:pPr>
            <w:pStyle w:val="Rodap"/>
            <w:spacing w:after="0"/>
          </w:pPr>
        </w:p>
      </w:tc>
      <w:tc>
        <w:tcPr>
          <w:tcW w:w="1371" w:type="dxa"/>
          <w:vMerge/>
          <w:tcBorders>
            <w:top w:val="nil"/>
            <w:left w:val="single" w:sz="12" w:space="0" w:color="7F7F7F"/>
            <w:bottom w:val="nil"/>
            <w:right w:val="single" w:sz="12" w:space="0" w:color="7F7F7F"/>
          </w:tcBorders>
        </w:tcPr>
        <w:p w:rsidR="00CF1527" w:rsidRDefault="00CF1527" w:rsidP="007A77F8">
          <w:pPr>
            <w:pStyle w:val="Rodap"/>
            <w:spacing w:after="0"/>
          </w:pPr>
        </w:p>
      </w:tc>
      <w:tc>
        <w:tcPr>
          <w:tcW w:w="5484" w:type="dxa"/>
          <w:tcBorders>
            <w:top w:val="single" w:sz="4" w:space="0" w:color="7F7F7F"/>
            <w:left w:val="single" w:sz="12" w:space="0" w:color="7F7F7F"/>
            <w:bottom w:val="nil"/>
            <w:right w:val="nil"/>
          </w:tcBorders>
        </w:tcPr>
        <w:p w:rsidR="00CF1527" w:rsidRDefault="00CF1527" w:rsidP="007A77F8">
          <w:pPr>
            <w:pStyle w:val="Rodap"/>
            <w:spacing w:after="0"/>
          </w:pPr>
        </w:p>
      </w:tc>
    </w:tr>
  </w:tbl>
  <w:p w:rsidR="00CF1527" w:rsidRDefault="00CF1527">
    <w:pPr>
      <w:pStyle w:val="Rodap"/>
    </w:pPr>
  </w:p>
  <w:p w:rsidR="001E1CA1" w:rsidRDefault="001E1CA1">
    <w:pPr>
      <w:pStyle w:val="Rodap"/>
      <w:jc w:val="right"/>
      <w:rPr>
        <w:rFonts w:ascii="Cambria" w:hAnsi="Cambria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E2" w:rsidRDefault="00185E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7A" w:rsidRDefault="00C17C7A" w:rsidP="00CA2C2E">
      <w:pPr>
        <w:spacing w:after="0" w:line="240" w:lineRule="auto"/>
      </w:pPr>
      <w:r>
        <w:separator/>
      </w:r>
    </w:p>
  </w:footnote>
  <w:footnote w:type="continuationSeparator" w:id="0">
    <w:p w:rsidR="00C17C7A" w:rsidRDefault="00C17C7A" w:rsidP="00CA2C2E">
      <w:pPr>
        <w:spacing w:after="0" w:line="240" w:lineRule="auto"/>
      </w:pPr>
      <w:r>
        <w:continuationSeparator/>
      </w:r>
    </w:p>
  </w:footnote>
  <w:footnote w:id="1">
    <w:p w:rsidR="001B760C" w:rsidRDefault="001B760C" w:rsidP="001B760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“</w:t>
      </w:r>
      <w:r w:rsidRPr="00D14318">
        <w:t>Art. 1º  A Defensoria Pública é instituição permanente, essencial à função jurisdicional do Estado, incumbindo-lhe, como expressão e instrumento do regime democrático, fundamentalmente, a orientação jurídica, a promoção dos direitos humanos e a defesa, em todos os graus, judicial e extrajudicial, dos direitos individuais e coletivos, de forma integral e gratuita, aos necessitados, assim considerados na forma do inciso LXXIV do art. 5º da Constituição Federal.</w:t>
      </w:r>
      <w:r>
        <w:t>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E2" w:rsidRDefault="005334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68704" o:spid="_x0000_s2067" type="#_x0000_t75" style="position:absolute;margin-left:0;margin-top:0;width:446.45pt;height:446.45pt;z-index:-251656192;mso-position-horizontal:center;mso-position-horizontal-relative:margin;mso-position-vertical:center;mso-position-vertical-relative:margin" o:allowincell="f">
          <v:imagedata r:id="rId1" o:title="Defensoria Pública do Estado de Minas Gerai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A1" w:rsidRDefault="0053345C" w:rsidP="007318A1">
    <w:pPr>
      <w:pStyle w:val="Cabealho"/>
      <w:spacing w:after="0"/>
      <w:jc w:val="center"/>
      <w:rPr>
        <w:rFonts w:ascii="Cambria" w:hAnsi="Cambria"/>
        <w:b/>
        <w:color w:val="7F7F7F"/>
      </w:rPr>
    </w:pPr>
    <w:r>
      <w:rPr>
        <w:rFonts w:ascii="Cambria" w:hAnsi="Cambria"/>
        <w:b/>
        <w:noProof/>
        <w:color w:val="7F7F7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68705" o:spid="_x0000_s2068" type="#_x0000_t75" style="position:absolute;left:0;text-align:left;margin-left:0;margin-top:0;width:446.45pt;height:446.45pt;z-index:-251655168;mso-position-horizontal:center;mso-position-horizontal-relative:margin;mso-position-vertical:center;mso-position-vertical-relative:margin" o:allowincell="f">
          <v:imagedata r:id="rId1" o:title="Defensoria Pública do Estado de Minas Gerais" gain="19661f" blacklevel="22938f"/>
          <w10:wrap anchorx="margin" anchory="margin"/>
        </v:shape>
      </w:pict>
    </w:r>
    <w:r w:rsidR="007318A1" w:rsidRPr="00B428AD">
      <w:rPr>
        <w:rFonts w:ascii="Cambria" w:hAnsi="Cambria"/>
        <w:b/>
        <w:color w:val="7F7F7F"/>
      </w:rPr>
      <w:t>DEFENSORIA PÚBLICA DO ESTADO DE MINAS GERAIS</w:t>
    </w:r>
  </w:p>
  <w:p w:rsidR="007318A1" w:rsidRPr="00B428AD" w:rsidRDefault="007318A1" w:rsidP="007318A1">
    <w:pPr>
      <w:pStyle w:val="Cabealho"/>
      <w:spacing w:after="0"/>
      <w:jc w:val="center"/>
      <w:rPr>
        <w:rFonts w:ascii="Cambria" w:hAnsi="Cambria"/>
      </w:rPr>
    </w:pPr>
  </w:p>
  <w:p w:rsidR="00CF174A" w:rsidRDefault="00185EE2" w:rsidP="00CF174A">
    <w:pPr>
      <w:pStyle w:val="Cabealho"/>
      <w:spacing w:after="0"/>
      <w:jc w:val="center"/>
    </w:pPr>
    <w:r>
      <w:rPr>
        <w:noProof/>
        <w:lang w:eastAsia="pt-BR"/>
      </w:rPr>
      <w:drawing>
        <wp:inline distT="0" distB="0" distL="0" distR="0">
          <wp:extent cx="742950" cy="809625"/>
          <wp:effectExtent l="19050" t="0" r="0" b="0"/>
          <wp:docPr id="1" name="Imagem 1" descr="defensoria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fensoria-logo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C2E" w:rsidRDefault="0053345C">
    <w:pPr>
      <w:pStyle w:val="Cabealho"/>
    </w:pPr>
    <w:r>
      <w:rPr>
        <w:noProof/>
        <w:lang w:eastAsia="zh-TW"/>
      </w:rPr>
      <w:pict>
        <v:rect id="_x0000_s2058" style="position:absolute;margin-left:9.65pt;margin-top:148.8pt;width:66.7pt;height:593.3pt;z-index:251657216;mso-position-horizontal-relative:page;mso-position-vertical-relative:page;v-text-anchor:middle" o:allowincell="f" filled="f" stroked="f">
          <v:textbox style="layout-flow:vertical;mso-layout-flow-alt:bottom-to-top;mso-next-textbox:#_x0000_s2058;mso-fit-shape-to-text:t">
            <w:txbxContent>
              <w:p w:rsidR="00CA2C2E" w:rsidRPr="00CA2C2E" w:rsidRDefault="00185EE2">
                <w:pPr>
                  <w:pStyle w:val="Rodap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  <w:noProof/>
                    <w:sz w:val="44"/>
                    <w:szCs w:val="44"/>
                    <w:lang w:eastAsia="pt-BR"/>
                  </w:rPr>
                  <w:drawing>
                    <wp:inline distT="0" distB="0" distL="0" distR="0">
                      <wp:extent cx="203379" cy="9458325"/>
                      <wp:effectExtent l="6171" t="0" r="0" b="0"/>
                      <wp:docPr id="2" name="Obj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lockedCanvas">
                          <lc:lockedCanvas xmlns:lc="http://schemas.openxmlformats.org/drawingml/2006/lockedCanvas">
                            <a:nvGrpSpPr>
                              <a:cNvPr id="0" name=""/>
                              <a:cNvGrpSpPr/>
                            </a:nvGrpSpPr>
                            <a:grpSpPr>
                              <a:xfrm>
                                <a:off x="0" y="0"/>
                                <a:ext cx="357190" cy="6429420"/>
                                <a:chOff x="357158" y="285728"/>
                                <a:chExt cx="357190" cy="6429420"/>
                              </a:xfrm>
                            </a:grpSpPr>
                            <a:sp>
                              <a:nvSpPr>
                                <a:cNvPr id="4" name="Elipse 3"/>
                                <a:cNvSpPr/>
                              </a:nvSpPr>
                              <a:spPr>
                                <a:xfrm>
                                  <a:off x="500034" y="285728"/>
                                  <a:ext cx="71438" cy="6429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pt-B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pt-BR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5" name="Elipse 4"/>
                                <a:cNvSpPr/>
                              </a:nvSpPr>
                              <a:spPr>
                                <a:xfrm>
                                  <a:off x="642910" y="1142984"/>
                                  <a:ext cx="71438" cy="4929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pt-B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pt-BR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6" name="Elipse 5"/>
                                <a:cNvSpPr/>
                              </a:nvSpPr>
                              <a:spPr>
                                <a:xfrm>
                                  <a:off x="357158" y="1142984"/>
                                  <a:ext cx="71438" cy="4929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pt-B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pt-BR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lc:lockedCanvas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rect>
      </w:pict>
    </w:r>
    <w:r w:rsidR="00CF174A" w:rsidRPr="0090337F">
      <w:t xml:space="preserve"> </w:t>
    </w:r>
    <w:r w:rsidR="00CF174A" w:rsidRPr="001E2B38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E2" w:rsidRDefault="005334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68703" o:spid="_x0000_s2066" type="#_x0000_t75" style="position:absolute;margin-left:0;margin-top:0;width:446.45pt;height:446.45pt;z-index:-251657216;mso-position-horizontal:center;mso-position-horizontal-relative:margin;mso-position-vertical:center;mso-position-vertical-relative:margin" o:allowincell="f">
          <v:imagedata r:id="rId1" o:title="Defensoria Pública do Estado de Minas Gerai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781D"/>
    <w:multiLevelType w:val="hybridMultilevel"/>
    <w:tmpl w:val="780039E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73F48"/>
    <w:multiLevelType w:val="hybridMultilevel"/>
    <w:tmpl w:val="BB54FA58"/>
    <w:lvl w:ilvl="0" w:tplc="95A2DE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531C9"/>
    <w:multiLevelType w:val="hybridMultilevel"/>
    <w:tmpl w:val="4C96950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1190D"/>
    <w:multiLevelType w:val="hybridMultilevel"/>
    <w:tmpl w:val="0A70C7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07EE"/>
    <w:multiLevelType w:val="hybridMultilevel"/>
    <w:tmpl w:val="4B7AD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31CF8"/>
    <w:multiLevelType w:val="hybridMultilevel"/>
    <w:tmpl w:val="7E88A1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73E63"/>
    <w:multiLevelType w:val="hybridMultilevel"/>
    <w:tmpl w:val="85BC1FAA"/>
    <w:lvl w:ilvl="0" w:tplc="95A2DE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D35FE"/>
    <w:multiLevelType w:val="hybridMultilevel"/>
    <w:tmpl w:val="9798294A"/>
    <w:lvl w:ilvl="0" w:tplc="95A2DE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84F9A"/>
    <w:multiLevelType w:val="hybridMultilevel"/>
    <w:tmpl w:val="2F78855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EA2E76"/>
    <w:multiLevelType w:val="hybridMultilevel"/>
    <w:tmpl w:val="50F07D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F6972"/>
    <w:multiLevelType w:val="hybridMultilevel"/>
    <w:tmpl w:val="FE0489B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fillcolor="none [3212]" strokecolor="none" shadowcolor="none"/>
    </o:shapedefaults>
    <o:shapelayout v:ext="edit">
      <o:idmap v:ext="edit" data="2"/>
      <o:rules v:ext="edit">
        <o:r id="V:Rule1" type="callout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1174"/>
    <w:rsid w:val="00004443"/>
    <w:rsid w:val="000334A8"/>
    <w:rsid w:val="000454CB"/>
    <w:rsid w:val="0006453C"/>
    <w:rsid w:val="000753B2"/>
    <w:rsid w:val="00083D9D"/>
    <w:rsid w:val="000967E2"/>
    <w:rsid w:val="000A2FC3"/>
    <w:rsid w:val="000B174C"/>
    <w:rsid w:val="000B5B2D"/>
    <w:rsid w:val="000B7B20"/>
    <w:rsid w:val="000C01CD"/>
    <w:rsid w:val="000C2D25"/>
    <w:rsid w:val="000C52E7"/>
    <w:rsid w:val="001017AA"/>
    <w:rsid w:val="00107AF5"/>
    <w:rsid w:val="00141252"/>
    <w:rsid w:val="00177988"/>
    <w:rsid w:val="00180D78"/>
    <w:rsid w:val="00185EE2"/>
    <w:rsid w:val="001A2881"/>
    <w:rsid w:val="001A5A47"/>
    <w:rsid w:val="001A5A75"/>
    <w:rsid w:val="001B760C"/>
    <w:rsid w:val="001D45C8"/>
    <w:rsid w:val="001E045B"/>
    <w:rsid w:val="001E1CA1"/>
    <w:rsid w:val="001F2796"/>
    <w:rsid w:val="00200280"/>
    <w:rsid w:val="00210D0A"/>
    <w:rsid w:val="002230DA"/>
    <w:rsid w:val="002256CD"/>
    <w:rsid w:val="00230D60"/>
    <w:rsid w:val="002574A9"/>
    <w:rsid w:val="0027115B"/>
    <w:rsid w:val="00280D0F"/>
    <w:rsid w:val="002B6571"/>
    <w:rsid w:val="002C48FB"/>
    <w:rsid w:val="002C6491"/>
    <w:rsid w:val="002E7B42"/>
    <w:rsid w:val="002F1CCA"/>
    <w:rsid w:val="002F38EA"/>
    <w:rsid w:val="002F3C8B"/>
    <w:rsid w:val="0030080A"/>
    <w:rsid w:val="00304810"/>
    <w:rsid w:val="00347B01"/>
    <w:rsid w:val="00350E5E"/>
    <w:rsid w:val="0035167D"/>
    <w:rsid w:val="003547A7"/>
    <w:rsid w:val="00355E0F"/>
    <w:rsid w:val="00356171"/>
    <w:rsid w:val="00357D1B"/>
    <w:rsid w:val="00363C21"/>
    <w:rsid w:val="0037028F"/>
    <w:rsid w:val="00376BCE"/>
    <w:rsid w:val="0038262F"/>
    <w:rsid w:val="00383959"/>
    <w:rsid w:val="003904E6"/>
    <w:rsid w:val="00395E1D"/>
    <w:rsid w:val="003B24C6"/>
    <w:rsid w:val="003D1D25"/>
    <w:rsid w:val="003D1E2D"/>
    <w:rsid w:val="003F1C5B"/>
    <w:rsid w:val="003F5A0B"/>
    <w:rsid w:val="004040C4"/>
    <w:rsid w:val="004051B1"/>
    <w:rsid w:val="00412149"/>
    <w:rsid w:val="004125AF"/>
    <w:rsid w:val="004127E1"/>
    <w:rsid w:val="0041375A"/>
    <w:rsid w:val="00420AD6"/>
    <w:rsid w:val="00421174"/>
    <w:rsid w:val="004215A2"/>
    <w:rsid w:val="004379C6"/>
    <w:rsid w:val="00443E38"/>
    <w:rsid w:val="00446003"/>
    <w:rsid w:val="00483CF1"/>
    <w:rsid w:val="004A0844"/>
    <w:rsid w:val="004A773E"/>
    <w:rsid w:val="004A7815"/>
    <w:rsid w:val="004B3695"/>
    <w:rsid w:val="004B5999"/>
    <w:rsid w:val="004D405E"/>
    <w:rsid w:val="004D4EAD"/>
    <w:rsid w:val="004E56EF"/>
    <w:rsid w:val="004F39C7"/>
    <w:rsid w:val="00512443"/>
    <w:rsid w:val="00514E31"/>
    <w:rsid w:val="00522D38"/>
    <w:rsid w:val="00524076"/>
    <w:rsid w:val="0053345C"/>
    <w:rsid w:val="005538AB"/>
    <w:rsid w:val="0055478D"/>
    <w:rsid w:val="00556578"/>
    <w:rsid w:val="00560654"/>
    <w:rsid w:val="00567778"/>
    <w:rsid w:val="00572D65"/>
    <w:rsid w:val="0057440B"/>
    <w:rsid w:val="00584126"/>
    <w:rsid w:val="00597EA8"/>
    <w:rsid w:val="005A71AC"/>
    <w:rsid w:val="005B7EB1"/>
    <w:rsid w:val="005C6923"/>
    <w:rsid w:val="005E68DB"/>
    <w:rsid w:val="005F278C"/>
    <w:rsid w:val="005F4D4B"/>
    <w:rsid w:val="006028CA"/>
    <w:rsid w:val="00602A0D"/>
    <w:rsid w:val="00615B00"/>
    <w:rsid w:val="0061632C"/>
    <w:rsid w:val="00667F26"/>
    <w:rsid w:val="00677E7A"/>
    <w:rsid w:val="0068275E"/>
    <w:rsid w:val="006915EF"/>
    <w:rsid w:val="00692586"/>
    <w:rsid w:val="006955ED"/>
    <w:rsid w:val="006D759E"/>
    <w:rsid w:val="006E02D1"/>
    <w:rsid w:val="007153B1"/>
    <w:rsid w:val="00726282"/>
    <w:rsid w:val="007318A1"/>
    <w:rsid w:val="00742D1D"/>
    <w:rsid w:val="00746CA7"/>
    <w:rsid w:val="007624D5"/>
    <w:rsid w:val="00782D20"/>
    <w:rsid w:val="007A5FC4"/>
    <w:rsid w:val="007A77F8"/>
    <w:rsid w:val="007C05E9"/>
    <w:rsid w:val="007C7DCC"/>
    <w:rsid w:val="007E7546"/>
    <w:rsid w:val="00811CE8"/>
    <w:rsid w:val="00816D53"/>
    <w:rsid w:val="00831FB1"/>
    <w:rsid w:val="00844F22"/>
    <w:rsid w:val="00851B4B"/>
    <w:rsid w:val="00856C56"/>
    <w:rsid w:val="00863096"/>
    <w:rsid w:val="008632D3"/>
    <w:rsid w:val="0088014A"/>
    <w:rsid w:val="0088051D"/>
    <w:rsid w:val="00890650"/>
    <w:rsid w:val="008A0F37"/>
    <w:rsid w:val="008A68D1"/>
    <w:rsid w:val="008B44C4"/>
    <w:rsid w:val="008B65A9"/>
    <w:rsid w:val="008D1644"/>
    <w:rsid w:val="008D1F40"/>
    <w:rsid w:val="008E4655"/>
    <w:rsid w:val="008E5FE0"/>
    <w:rsid w:val="008F135B"/>
    <w:rsid w:val="0090473F"/>
    <w:rsid w:val="009156C9"/>
    <w:rsid w:val="00916B0E"/>
    <w:rsid w:val="00922434"/>
    <w:rsid w:val="00936404"/>
    <w:rsid w:val="00963154"/>
    <w:rsid w:val="00964301"/>
    <w:rsid w:val="00996781"/>
    <w:rsid w:val="009B7C41"/>
    <w:rsid w:val="009D69F8"/>
    <w:rsid w:val="009F3AB9"/>
    <w:rsid w:val="00A32AA0"/>
    <w:rsid w:val="00A342A4"/>
    <w:rsid w:val="00A372F6"/>
    <w:rsid w:val="00A45B1F"/>
    <w:rsid w:val="00A72B09"/>
    <w:rsid w:val="00A975FC"/>
    <w:rsid w:val="00AA0D0D"/>
    <w:rsid w:val="00AA5CD2"/>
    <w:rsid w:val="00AB5260"/>
    <w:rsid w:val="00AB67F7"/>
    <w:rsid w:val="00AC7F6D"/>
    <w:rsid w:val="00AD7001"/>
    <w:rsid w:val="00AE28BB"/>
    <w:rsid w:val="00AF6B2B"/>
    <w:rsid w:val="00B00F9A"/>
    <w:rsid w:val="00B02BE4"/>
    <w:rsid w:val="00B06074"/>
    <w:rsid w:val="00B1295D"/>
    <w:rsid w:val="00B14161"/>
    <w:rsid w:val="00B2042F"/>
    <w:rsid w:val="00B21D3C"/>
    <w:rsid w:val="00B221BA"/>
    <w:rsid w:val="00B428AD"/>
    <w:rsid w:val="00B456A6"/>
    <w:rsid w:val="00B518B7"/>
    <w:rsid w:val="00B53461"/>
    <w:rsid w:val="00B65CA8"/>
    <w:rsid w:val="00B975AB"/>
    <w:rsid w:val="00B97E0C"/>
    <w:rsid w:val="00BA4CA8"/>
    <w:rsid w:val="00BB18DE"/>
    <w:rsid w:val="00BC1BA6"/>
    <w:rsid w:val="00BC529B"/>
    <w:rsid w:val="00BC737A"/>
    <w:rsid w:val="00BD0E01"/>
    <w:rsid w:val="00BD345C"/>
    <w:rsid w:val="00BF2D60"/>
    <w:rsid w:val="00C17C7A"/>
    <w:rsid w:val="00C36EE1"/>
    <w:rsid w:val="00C43C17"/>
    <w:rsid w:val="00C503F4"/>
    <w:rsid w:val="00C7241B"/>
    <w:rsid w:val="00C728C9"/>
    <w:rsid w:val="00C74C16"/>
    <w:rsid w:val="00C828A0"/>
    <w:rsid w:val="00CA0079"/>
    <w:rsid w:val="00CA2C2E"/>
    <w:rsid w:val="00CA35E0"/>
    <w:rsid w:val="00CD19DD"/>
    <w:rsid w:val="00CD1AFB"/>
    <w:rsid w:val="00CE336A"/>
    <w:rsid w:val="00CE484E"/>
    <w:rsid w:val="00CF1527"/>
    <w:rsid w:val="00CF174A"/>
    <w:rsid w:val="00CF75F8"/>
    <w:rsid w:val="00D2107B"/>
    <w:rsid w:val="00D3164C"/>
    <w:rsid w:val="00D6082F"/>
    <w:rsid w:val="00D82D25"/>
    <w:rsid w:val="00DB40CD"/>
    <w:rsid w:val="00DC4FD3"/>
    <w:rsid w:val="00DD024F"/>
    <w:rsid w:val="00DE1ED3"/>
    <w:rsid w:val="00DF5304"/>
    <w:rsid w:val="00E14333"/>
    <w:rsid w:val="00E162C3"/>
    <w:rsid w:val="00E20A38"/>
    <w:rsid w:val="00E21C05"/>
    <w:rsid w:val="00E32E25"/>
    <w:rsid w:val="00E34421"/>
    <w:rsid w:val="00E5223B"/>
    <w:rsid w:val="00E66678"/>
    <w:rsid w:val="00E732CC"/>
    <w:rsid w:val="00E740EF"/>
    <w:rsid w:val="00E74C6C"/>
    <w:rsid w:val="00E82DF0"/>
    <w:rsid w:val="00E96F4E"/>
    <w:rsid w:val="00E97241"/>
    <w:rsid w:val="00EC2502"/>
    <w:rsid w:val="00EC7136"/>
    <w:rsid w:val="00ED4672"/>
    <w:rsid w:val="00ED6468"/>
    <w:rsid w:val="00ED7958"/>
    <w:rsid w:val="00EE04BD"/>
    <w:rsid w:val="00F00EA8"/>
    <w:rsid w:val="00F15EE6"/>
    <w:rsid w:val="00F23D52"/>
    <w:rsid w:val="00F24084"/>
    <w:rsid w:val="00F32B40"/>
    <w:rsid w:val="00F464B7"/>
    <w:rsid w:val="00F60513"/>
    <w:rsid w:val="00F70D3C"/>
    <w:rsid w:val="00F77C04"/>
    <w:rsid w:val="00FB003E"/>
    <w:rsid w:val="00FC0CBB"/>
    <w:rsid w:val="00FC1A00"/>
    <w:rsid w:val="00FC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1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2C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2C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nhideWhenUsed/>
    <w:rsid w:val="00CA2C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C2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A2C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2C2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C2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3561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1C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E1CA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E1CA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4600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70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28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28F"/>
    <w:rPr>
      <w:b/>
      <w:bCs/>
    </w:rPr>
  </w:style>
  <w:style w:type="paragraph" w:styleId="Reviso">
    <w:name w:val="Revision"/>
    <w:hidden/>
    <w:uiPriority w:val="99"/>
    <w:semiHidden/>
    <w:rsid w:val="0037028F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E7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8615-2637-48C1-933B-2C262856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DP-MG</cp:lastModifiedBy>
  <cp:revision>2</cp:revision>
  <cp:lastPrinted>2010-02-25T18:13:00Z</cp:lastPrinted>
  <dcterms:created xsi:type="dcterms:W3CDTF">2017-03-17T14:57:00Z</dcterms:created>
  <dcterms:modified xsi:type="dcterms:W3CDTF">2017-03-17T14:57:00Z</dcterms:modified>
</cp:coreProperties>
</file>